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R4-2113883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.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16</w:t>
      </w:r>
      <w:r>
        <w:rPr>
          <w:rFonts w:ascii="Arial" w:hAnsi="Arial" w:eastAsia="宋体"/>
          <w:b/>
          <w:sz w:val="24"/>
          <w:szCs w:val="24"/>
          <w:lang w:eastAsia="zh-CN"/>
        </w:rPr>
        <w:t>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temporary RS for efficient SCell activation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9.22.2.2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99-e, the following reply LS was sent from RAN1 to RAN4 [1], the content copied below: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>
              <w:rPr>
                <w:rFonts w:ascii="Arial" w:hAnsi="Arial" w:cs="Arial"/>
                <w:iCs/>
                <w:kern w:val="2"/>
                <w:lang w:val="en-US"/>
              </w:rPr>
              <w:t>With respect to efficient SCell activation for NR CA, RAN1 would like to inform RAN4 the following RAN1 agreement,</w:t>
            </w:r>
          </w:p>
          <w:p>
            <w:pPr>
              <w:rPr>
                <w:rFonts w:ascii="Arial" w:hAnsi="Arial" w:eastAsia="Malgun Gothic" w:cs="Arial"/>
                <w:iCs/>
                <w:szCs w:val="24"/>
                <w:highlight w:val="green"/>
                <w:lang w:eastAsia="zh-CN"/>
              </w:rPr>
            </w:pPr>
            <w:r>
              <w:rPr>
                <w:rFonts w:ascii="Arial" w:hAnsi="Arial" w:eastAsia="Malgun Gothic" w:cs="Arial"/>
                <w:b/>
                <w:iCs/>
                <w:szCs w:val="24"/>
                <w:highlight w:val="green"/>
                <w:lang w:eastAsia="zh-CN"/>
              </w:rPr>
              <w:t>Agreement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For efficient activation of SCells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Option 1a: MAC CE(s) contained in a single PDSCH to trigger both SCell activation and corresponding temporary RS(s)</w:t>
            </w:r>
          </w:p>
          <w:p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Details FFS including timeline design for receiving temporary RS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Note: Separate from the support of Option 1a, it is up to RAN4 whether or not to consider an activation time enhancement for Option 2 without requiring further RAN1 work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ascii="Arial" w:hAnsi="Arial" w:eastAsia="Batang" w:cs="Arial"/>
                <w:szCs w:val="24"/>
              </w:rPr>
              <w:t>Option 2: A Rel-15/16 SCell activation MAC-CE to trigger SCell activation and a Rel-15/16 DCI to trigger corresponding Rel-15/16 A-TRS(s)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LS was also captured in the WF [2] and is to be discussed in RAN4 100-e. The content of the WF is copied below as well.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36"/>
              <w:numPr>
                <w:ilvl w:val="0"/>
                <w:numId w:val="0"/>
              </w:numPr>
              <w:jc w:val="center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950970" cy="2729865"/>
                  <wp:effectExtent l="0" t="0" r="11430" b="133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0970" cy="272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options listed above in the LS and provide our view.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Before discussing the technical issues, we first note that in the LS, Option 1a is already agreed by RAN1 and is already supported.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Thus, in RAN4, what we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re actually discussing is whether to also consider option 2 on top of option 1a. Basically, Option 1a is to trigger SCell activation and temporary RS via MAC-CE(s) in the same PDSCH while Option 2 is trying to activate the SCell via a MAC-CE and then trigger the Rel-15/Rel-16 TRS via DCI.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As reflected in the discussion summary in RAN1 [2], a majority of companies agreed on Option 1a but not Option 2.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From our point of view, we also have concerns towards Option 2. This is mainly due to the fact that Option 2 may complicate the SCell activation procedure without clear benefits observed. For instance, 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 This might lead to quite amount of work in RAN4 with significant specification impact.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quite amount of work in RAN4 with significant specification impact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Based on the above analysis, we propose not to support option 2 but simply go with option 1a which is already agreed by RAN1.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Do not support option 2 but simply go with option 1a which is already agreed by RAN1. 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quite amount of work in RAN4 with significant specification impact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Do not support option 2 but simply go with option 1a which is already agreed by RAN1.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R4-2107609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R4-2108363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A47FDF"/>
    <w:multiLevelType w:val="multilevel"/>
    <w:tmpl w:val="6DA47F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C74577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15FCC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821806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892276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DDD117E1-8C1C-466A-8D7F-EAF64C1488C0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9B5B53C8-48A5-44AD-B897-E90CB0B8E3EC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2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